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452CD2" w14:textId="46CC4F7C" w:rsidR="00112BB9" w:rsidRPr="00C9183F" w:rsidRDefault="00112BB9" w:rsidP="00C9183F"/>
    <w:p w14:paraId="3418C8BC" w14:textId="70DBBFB1" w:rsidR="00393F4B" w:rsidRDefault="00393F4B" w:rsidP="00393F4B">
      <w:pPr>
        <w:rPr>
          <w:b/>
          <w:bCs/>
        </w:rPr>
      </w:pPr>
      <w:r w:rsidRPr="006F3B5F">
        <w:rPr>
          <w:b/>
          <w:bCs/>
        </w:rPr>
        <w:t xml:space="preserve">Winter recovery management strategies for </w:t>
      </w:r>
      <w:proofErr w:type="gramStart"/>
      <w:r w:rsidRPr="006F3B5F">
        <w:rPr>
          <w:b/>
          <w:bCs/>
        </w:rPr>
        <w:t>cool-season</w:t>
      </w:r>
      <w:proofErr w:type="gramEnd"/>
      <w:r w:rsidRPr="006F3B5F">
        <w:rPr>
          <w:b/>
          <w:bCs/>
        </w:rPr>
        <w:t xml:space="preserve"> turfgrasses</w:t>
      </w:r>
    </w:p>
    <w:p w14:paraId="0A2BEA5F" w14:textId="7FC2EC43" w:rsidR="00AE7211" w:rsidRDefault="007D4D90" w:rsidP="00393F4B">
      <w:pPr>
        <w:rPr>
          <w:b/>
          <w:bCs/>
        </w:rPr>
      </w:pPr>
      <w:r>
        <w:rPr>
          <w:b/>
          <w:bCs/>
        </w:rPr>
        <w:t>By Dr. Emily Holm</w:t>
      </w:r>
    </w:p>
    <w:p w14:paraId="56AF400B" w14:textId="0AD348B3" w:rsidR="00AE7211" w:rsidRPr="00AE7211" w:rsidRDefault="00AE7211" w:rsidP="00393F4B">
      <w:r>
        <w:t xml:space="preserve">Student: </w:t>
      </w:r>
      <w:r w:rsidRPr="00AE7211">
        <w:t>Ruilin Miao</w:t>
      </w:r>
    </w:p>
    <w:p w14:paraId="3550B8B7" w14:textId="77777777" w:rsidR="00987094" w:rsidRDefault="00987094" w:rsidP="00FF107E">
      <w:pPr>
        <w:ind w:left="288"/>
        <w:jc w:val="both"/>
        <w:rPr>
          <w:u w:val="single"/>
        </w:rPr>
      </w:pPr>
    </w:p>
    <w:p w14:paraId="5BB28BE9" w14:textId="45F7B568" w:rsidR="000B1F7C" w:rsidRDefault="000B1F7C" w:rsidP="000B1F7C">
      <w:pPr>
        <w:rPr>
          <w:bCs/>
        </w:rPr>
      </w:pPr>
      <w:r w:rsidRPr="000B1F7C">
        <w:rPr>
          <w:bCs/>
          <w:u w:val="single"/>
        </w:rPr>
        <w:t>Project Description:</w:t>
      </w:r>
      <w:r w:rsidRPr="000B1F7C">
        <w:rPr>
          <w:bCs/>
        </w:rPr>
        <w:t xml:space="preserve"> Winterkill damage of perennial turfgrasses on golf courses and other turf areas is costly to repair and detrimental to the success and sustainability of the turfgrass industry. Maintaining mature turfgrass areas is critical to reducing environmental impacts, which is difficult with climate change induced seasonal fluctuations and severe weather. Therefore, research to determine post-winter management strategies to promote perennial turfgrass plant survival and release from winter dormancy is critical. Light and water are two major factors associated with plant death during the winter to spring transitional period, but little research has been performed to evaluate spring turfgrass management strategies to reduce plant stress associated with these factors. Our research uses controlled condition and field conditions to determine the efficacy of novel spring management practices on turfgrass survival of severe winter conditions. </w:t>
      </w:r>
    </w:p>
    <w:p w14:paraId="4FB67D64" w14:textId="77777777" w:rsidR="00AA1A13" w:rsidRDefault="00AA1A13" w:rsidP="000B1F7C">
      <w:pPr>
        <w:rPr>
          <w:bCs/>
        </w:rPr>
      </w:pPr>
    </w:p>
    <w:p w14:paraId="0A6DC28F" w14:textId="77777777" w:rsidR="00AA1A13" w:rsidRDefault="00AA1A13" w:rsidP="000B1F7C">
      <w:pPr>
        <w:rPr>
          <w:u w:val="single"/>
        </w:rPr>
      </w:pPr>
    </w:p>
    <w:p w14:paraId="16CD06F0" w14:textId="1D99B31D" w:rsidR="00AA1A13" w:rsidRDefault="008C28FE" w:rsidP="000B1F7C">
      <w:pPr>
        <w:rPr>
          <w:u w:val="single"/>
        </w:rPr>
      </w:pPr>
      <w:r>
        <w:rPr>
          <w:u w:val="single"/>
        </w:rPr>
        <w:t xml:space="preserve">Objectives and </w:t>
      </w:r>
      <w:r w:rsidR="00AA1A13" w:rsidRPr="0051155C">
        <w:rPr>
          <w:u w:val="single"/>
        </w:rPr>
        <w:t>Expected results</w:t>
      </w:r>
      <w:r w:rsidR="00AA1A13">
        <w:rPr>
          <w:u w:val="single"/>
        </w:rPr>
        <w:t>:</w:t>
      </w:r>
    </w:p>
    <w:p w14:paraId="0CFB337E" w14:textId="77777777" w:rsidR="008C28FE" w:rsidRDefault="008C28FE" w:rsidP="008C28FE">
      <w:pPr>
        <w:ind w:firstLine="720"/>
        <w:rPr>
          <w:rFonts w:eastAsia="Aptos"/>
          <w:bCs/>
          <w:kern w:val="2"/>
          <w14:ligatures w14:val="standardContextual"/>
        </w:rPr>
      </w:pPr>
      <w:r w:rsidRPr="00AE394E">
        <w:rPr>
          <w:rFonts w:eastAsia="Aptos"/>
          <w:bCs/>
          <w:kern w:val="2"/>
          <w14:ligatures w14:val="standardContextual"/>
        </w:rPr>
        <w:t xml:space="preserve">Objective 1 – Quantify water uptake rates of crowns and chlorophyll damage of plants with and without ice encasement and in response to spring warming (de-acclimation) </w:t>
      </w:r>
      <w:r>
        <w:rPr>
          <w:rFonts w:eastAsia="Aptos"/>
          <w:bCs/>
          <w:kern w:val="2"/>
          <w14:ligatures w14:val="standardContextual"/>
        </w:rPr>
        <w:t xml:space="preserve">and ABA </w:t>
      </w:r>
      <w:r w:rsidRPr="00AE394E">
        <w:rPr>
          <w:rFonts w:eastAsia="Aptos"/>
          <w:bCs/>
          <w:kern w:val="2"/>
          <w14:ligatures w14:val="standardContextual"/>
        </w:rPr>
        <w:t xml:space="preserve">treatments. </w:t>
      </w:r>
    </w:p>
    <w:p w14:paraId="1BF329D0" w14:textId="77777777" w:rsidR="008C28FE" w:rsidRPr="00AE394E" w:rsidRDefault="008C28FE" w:rsidP="008C28FE">
      <w:pPr>
        <w:ind w:firstLine="720"/>
        <w:rPr>
          <w:rFonts w:eastAsia="Aptos"/>
          <w:bCs/>
          <w:i/>
          <w:iCs/>
          <w:kern w:val="2"/>
          <w14:ligatures w14:val="standardContextual"/>
        </w:rPr>
      </w:pPr>
      <w:r w:rsidRPr="00A624B6">
        <w:rPr>
          <w:rFonts w:eastAsia="Aptos"/>
          <w:bCs/>
          <w:i/>
          <w:iCs/>
          <w:kern w:val="2"/>
          <w14:ligatures w14:val="standardContextual"/>
        </w:rPr>
        <w:t>Hypothesis – Ice encasement will cause more rapid water uptake compared than without ice encasement and an interrupting warming treatment will exacerbate this effect. A</w:t>
      </w:r>
      <w:r>
        <w:rPr>
          <w:rFonts w:eastAsia="Aptos"/>
          <w:bCs/>
          <w:i/>
          <w:iCs/>
          <w:kern w:val="2"/>
          <w14:ligatures w14:val="standardContextual"/>
        </w:rPr>
        <w:t>BA</w:t>
      </w:r>
      <w:r w:rsidRPr="00A624B6">
        <w:rPr>
          <w:rFonts w:eastAsia="Aptos"/>
          <w:bCs/>
          <w:i/>
          <w:iCs/>
          <w:kern w:val="2"/>
          <w14:ligatures w14:val="standardContextual"/>
        </w:rPr>
        <w:t xml:space="preserve"> </w:t>
      </w:r>
      <w:proofErr w:type="gramStart"/>
      <w:r w:rsidRPr="00A624B6">
        <w:rPr>
          <w:rFonts w:eastAsia="Aptos"/>
          <w:bCs/>
          <w:i/>
          <w:iCs/>
          <w:kern w:val="2"/>
          <w14:ligatures w14:val="standardContextual"/>
        </w:rPr>
        <w:t>to promote</w:t>
      </w:r>
      <w:proofErr w:type="gramEnd"/>
      <w:r w:rsidRPr="00A624B6">
        <w:rPr>
          <w:rFonts w:eastAsia="Aptos"/>
          <w:bCs/>
          <w:i/>
          <w:iCs/>
          <w:kern w:val="2"/>
          <w14:ligatures w14:val="standardContextual"/>
        </w:rPr>
        <w:t xml:space="preserve"> stomatal closure</w:t>
      </w:r>
      <w:r>
        <w:rPr>
          <w:rFonts w:eastAsia="Aptos"/>
          <w:bCs/>
          <w:i/>
          <w:iCs/>
          <w:kern w:val="2"/>
          <w14:ligatures w14:val="standardContextual"/>
        </w:rPr>
        <w:t xml:space="preserve">, </w:t>
      </w:r>
      <w:proofErr w:type="gramStart"/>
      <w:r>
        <w:rPr>
          <w:rFonts w:eastAsia="Aptos"/>
          <w:bCs/>
          <w:i/>
          <w:iCs/>
          <w:kern w:val="2"/>
          <w14:ligatures w14:val="standardContextual"/>
        </w:rPr>
        <w:t>inhibit</w:t>
      </w:r>
      <w:proofErr w:type="gramEnd"/>
      <w:r>
        <w:rPr>
          <w:rFonts w:eastAsia="Aptos"/>
          <w:bCs/>
          <w:i/>
          <w:iCs/>
          <w:kern w:val="2"/>
          <w14:ligatures w14:val="standardContextual"/>
        </w:rPr>
        <w:t xml:space="preserve"> growth,</w:t>
      </w:r>
      <w:r w:rsidRPr="00A624B6">
        <w:rPr>
          <w:rFonts w:eastAsia="Aptos"/>
          <w:bCs/>
          <w:i/>
          <w:iCs/>
          <w:kern w:val="2"/>
          <w14:ligatures w14:val="standardContextual"/>
        </w:rPr>
        <w:t xml:space="preserve"> and limit water uptake will reduce water absorption of crown tissue. Crown survival could be promoted by delayed water uptake. </w:t>
      </w:r>
    </w:p>
    <w:p w14:paraId="5A97DD83" w14:textId="77777777" w:rsidR="008C28FE" w:rsidRDefault="008C28FE" w:rsidP="008C28FE">
      <w:pPr>
        <w:ind w:firstLine="720"/>
        <w:rPr>
          <w:rFonts w:eastAsia="Aptos"/>
          <w:bCs/>
          <w:kern w:val="2"/>
          <w14:ligatures w14:val="standardContextual"/>
        </w:rPr>
      </w:pPr>
      <w:r w:rsidRPr="00AE394E">
        <w:rPr>
          <w:rFonts w:eastAsia="Aptos"/>
          <w:bCs/>
          <w:kern w:val="2"/>
          <w14:ligatures w14:val="standardContextual"/>
        </w:rPr>
        <w:t xml:space="preserve">Objective 2 – Identify the effect of varying light intensities during </w:t>
      </w:r>
      <w:r>
        <w:rPr>
          <w:rFonts w:eastAsia="Aptos"/>
          <w:bCs/>
          <w:kern w:val="2"/>
          <w14:ligatures w14:val="standardContextual"/>
        </w:rPr>
        <w:t xml:space="preserve">ice and during </w:t>
      </w:r>
      <w:r w:rsidRPr="00AE394E">
        <w:rPr>
          <w:rFonts w:eastAsia="Aptos"/>
          <w:bCs/>
          <w:kern w:val="2"/>
          <w14:ligatures w14:val="standardContextual"/>
        </w:rPr>
        <w:t>spring recovery from ice encasement on annual bluegrass survival and physiological properties</w:t>
      </w:r>
      <w:r>
        <w:rPr>
          <w:rFonts w:eastAsia="Aptos"/>
          <w:bCs/>
          <w:kern w:val="2"/>
          <w14:ligatures w14:val="standardContextual"/>
        </w:rPr>
        <w:t>.</w:t>
      </w:r>
    </w:p>
    <w:p w14:paraId="0F19D956" w14:textId="77777777" w:rsidR="008C28FE" w:rsidRPr="00AE394E" w:rsidRDefault="008C28FE" w:rsidP="008C28FE">
      <w:pPr>
        <w:ind w:firstLine="720"/>
        <w:rPr>
          <w:rFonts w:eastAsia="Aptos"/>
          <w:bCs/>
          <w:i/>
          <w:iCs/>
          <w:kern w:val="2"/>
          <w14:ligatures w14:val="standardContextual"/>
        </w:rPr>
      </w:pPr>
      <w:r w:rsidRPr="00B62A77">
        <w:rPr>
          <w:rFonts w:eastAsia="Aptos"/>
          <w:bCs/>
          <w:i/>
          <w:iCs/>
          <w:kern w:val="2"/>
          <w14:ligatures w14:val="standardContextual"/>
        </w:rPr>
        <w:t>Hypothesis – Since minimal levels of photosynthesis could occur under illuminated ice and plants would be acclimated to light, we hypothesize that recovery will be promoted. The shock associated with darkness under ice encasement followed by sudden light exposure could cause photoinhibition and irreversibly damage crown tissue.</w:t>
      </w:r>
    </w:p>
    <w:p w14:paraId="6DB37D8C" w14:textId="77777777" w:rsidR="008C28FE" w:rsidRDefault="008C28FE" w:rsidP="008C28FE">
      <w:pPr>
        <w:ind w:firstLine="720"/>
        <w:rPr>
          <w:rFonts w:eastAsia="Aptos"/>
          <w:bCs/>
          <w:kern w:val="2"/>
          <w14:ligatures w14:val="standardContextual"/>
        </w:rPr>
      </w:pPr>
      <w:r w:rsidRPr="00AE394E">
        <w:rPr>
          <w:rFonts w:eastAsia="Aptos"/>
          <w:bCs/>
          <w:kern w:val="2"/>
          <w14:ligatures w14:val="standardContextual"/>
        </w:rPr>
        <w:t>Objective 3 - Test sustainable, novel turfgrass spring treatments for post-winter protection and identify whether the treatments moderate annual bluegrass responses to water and light following winter in field and controlled conditions</w:t>
      </w:r>
    </w:p>
    <w:p w14:paraId="19E464BD" w14:textId="77777777" w:rsidR="008C28FE" w:rsidRPr="00AE394E" w:rsidRDefault="008C28FE" w:rsidP="008C28FE">
      <w:pPr>
        <w:ind w:firstLine="720"/>
        <w:rPr>
          <w:rFonts w:eastAsia="Aptos"/>
          <w:bCs/>
          <w:i/>
          <w:iCs/>
          <w:kern w:val="2"/>
          <w14:ligatures w14:val="standardContextual"/>
        </w:rPr>
      </w:pPr>
      <w:r w:rsidRPr="00F47611">
        <w:rPr>
          <w:rFonts w:eastAsia="Aptos"/>
          <w:bCs/>
          <w:i/>
          <w:iCs/>
          <w:kern w:val="2"/>
          <w14:ligatures w14:val="standardContextual"/>
        </w:rPr>
        <w:t xml:space="preserve">Hypothesis – Protection from light and moderated temperatures by shading turf with either powder or a cloth following winterkill stress could reduce irreversible damage caused by photoinhibition and promote turfgrass crown survival. </w:t>
      </w:r>
    </w:p>
    <w:p w14:paraId="3EE90896" w14:textId="77777777" w:rsidR="008C28FE" w:rsidRPr="000B1F7C" w:rsidRDefault="008C28FE" w:rsidP="000B1F7C">
      <w:pPr>
        <w:rPr>
          <w:bCs/>
        </w:rPr>
      </w:pPr>
    </w:p>
    <w:p w14:paraId="5D536CC1" w14:textId="632FCD4C" w:rsidR="00FA3C5C" w:rsidRPr="00FA3C5C" w:rsidRDefault="00FA3C5C" w:rsidP="00FA3C5C">
      <w:pPr>
        <w:rPr>
          <w:rFonts w:eastAsia="Aptos"/>
          <w:bCs/>
          <w:kern w:val="2"/>
          <w:u w:val="single"/>
          <w14:ligatures w14:val="standardContextual"/>
        </w:rPr>
      </w:pPr>
      <w:r w:rsidRPr="00FA3C5C">
        <w:rPr>
          <w:rFonts w:eastAsia="Aptos"/>
          <w:bCs/>
          <w:kern w:val="2"/>
          <w:u w:val="single"/>
          <w14:ligatures w14:val="standardContextual"/>
        </w:rPr>
        <w:t>Methods</w:t>
      </w:r>
    </w:p>
    <w:p w14:paraId="368A7F81" w14:textId="54598DBB" w:rsidR="00FA3C5C" w:rsidRPr="00AE394E" w:rsidRDefault="00FA3C5C" w:rsidP="00FA3C5C">
      <w:pPr>
        <w:ind w:firstLine="360"/>
        <w:rPr>
          <w:rFonts w:eastAsia="Aptos"/>
          <w:bCs/>
          <w:kern w:val="2"/>
          <w14:ligatures w14:val="standardContextual"/>
        </w:rPr>
      </w:pPr>
      <w:r w:rsidRPr="00AE394E">
        <w:rPr>
          <w:rFonts w:eastAsia="Aptos"/>
          <w:b/>
          <w:kern w:val="2"/>
          <w14:ligatures w14:val="standardContextual"/>
        </w:rPr>
        <w:t>Objective 1-</w:t>
      </w:r>
      <w:r>
        <w:rPr>
          <w:rFonts w:eastAsia="Aptos"/>
          <w:b/>
          <w:kern w:val="2"/>
          <w14:ligatures w14:val="standardContextual"/>
        </w:rPr>
        <w:t xml:space="preserve"> </w:t>
      </w:r>
      <w:r w:rsidRPr="00E01202">
        <w:rPr>
          <w:rFonts w:eastAsia="Aptos"/>
          <w:bCs/>
          <w:kern w:val="2"/>
          <w14:ligatures w14:val="standardContextual"/>
        </w:rPr>
        <w:t xml:space="preserve">Turfgrass plugs </w:t>
      </w:r>
      <w:r>
        <w:rPr>
          <w:rFonts w:eastAsia="Aptos"/>
          <w:bCs/>
          <w:kern w:val="2"/>
          <w14:ligatures w14:val="standardContextual"/>
        </w:rPr>
        <w:t xml:space="preserve">(4” diameter) </w:t>
      </w:r>
      <w:r w:rsidRPr="00E01202">
        <w:rPr>
          <w:rFonts w:eastAsia="Aptos"/>
          <w:bCs/>
          <w:kern w:val="2"/>
          <w14:ligatures w14:val="standardContextual"/>
        </w:rPr>
        <w:t xml:space="preserve">of annual bluegrass will be collected from the field, exposed to cold acclimation temperature regime and then treated </w:t>
      </w:r>
      <w:r>
        <w:rPr>
          <w:rFonts w:eastAsia="Aptos"/>
          <w:bCs/>
          <w:kern w:val="2"/>
          <w14:ligatures w14:val="standardContextual"/>
        </w:rPr>
        <w:t xml:space="preserve">with 0 or 50 d of </w:t>
      </w:r>
      <w:r w:rsidRPr="00AE394E">
        <w:rPr>
          <w:rFonts w:eastAsia="Aptos"/>
          <w:bCs/>
          <w:kern w:val="2"/>
          <w14:ligatures w14:val="standardContextual"/>
        </w:rPr>
        <w:t xml:space="preserve">1) ice encasement </w:t>
      </w:r>
      <w:r w:rsidR="007369AB">
        <w:rPr>
          <w:rFonts w:eastAsia="Aptos"/>
          <w:bCs/>
          <w:kern w:val="2"/>
          <w14:ligatures w14:val="standardContextual"/>
        </w:rPr>
        <w:t xml:space="preserve">(Figure 1) </w:t>
      </w:r>
      <w:r w:rsidRPr="00AE394E">
        <w:rPr>
          <w:rFonts w:eastAsia="Aptos"/>
          <w:bCs/>
          <w:kern w:val="2"/>
          <w14:ligatures w14:val="standardContextual"/>
        </w:rPr>
        <w:t xml:space="preserve">2) no ice encasement 3) </w:t>
      </w:r>
      <w:r>
        <w:rPr>
          <w:rFonts w:eastAsia="Aptos"/>
          <w:bCs/>
          <w:kern w:val="2"/>
          <w14:ligatures w14:val="standardContextual"/>
        </w:rPr>
        <w:t xml:space="preserve">ice melt + </w:t>
      </w:r>
      <w:r w:rsidRPr="00AE394E">
        <w:rPr>
          <w:rFonts w:eastAsia="Aptos"/>
          <w:bCs/>
          <w:kern w:val="2"/>
          <w14:ligatures w14:val="standardContextual"/>
        </w:rPr>
        <w:t>warm period exposure (</w:t>
      </w:r>
      <w:r>
        <w:rPr>
          <w:rFonts w:eastAsia="Aptos"/>
          <w:bCs/>
          <w:kern w:val="2"/>
          <w14:ligatures w14:val="standardContextual"/>
        </w:rPr>
        <w:t xml:space="preserve">premature </w:t>
      </w:r>
      <w:r w:rsidRPr="00AE394E">
        <w:rPr>
          <w:rFonts w:eastAsia="Aptos"/>
          <w:bCs/>
          <w:kern w:val="2"/>
          <w14:ligatures w14:val="standardContextual"/>
        </w:rPr>
        <w:t>de-acclimation)</w:t>
      </w:r>
      <w:r>
        <w:rPr>
          <w:rFonts w:eastAsia="Aptos"/>
          <w:bCs/>
          <w:kern w:val="2"/>
          <w14:ligatures w14:val="standardContextual"/>
        </w:rPr>
        <w:t xml:space="preserve"> 4) warm exposure only. De-acclimation temperature and duration methods will be used as in Hoffman et al., (2014). Following winter treatments plants will be de-acclimated gradually and treated with or without ABA (100</w:t>
      </w:r>
      <w:r>
        <w:rPr>
          <w:rFonts w:eastAsia="Aptos"/>
          <w:kern w:val="2"/>
          <w14:ligatures w14:val="standardContextual"/>
        </w:rPr>
        <w:t>μ</w:t>
      </w:r>
      <w:r>
        <w:rPr>
          <w:rFonts w:eastAsia="Aptos"/>
          <w:bCs/>
          <w:kern w:val="2"/>
          <w14:ligatures w14:val="standardContextual"/>
        </w:rPr>
        <w:t>M; Wang et al., 2003) and tetralone-ABA (</w:t>
      </w:r>
      <w:r w:rsidRPr="00AE0805">
        <w:rPr>
          <w:rFonts w:eastAsia="Aptos"/>
          <w:bCs/>
          <w:kern w:val="2"/>
          <w14:ligatures w14:val="standardContextual"/>
        </w:rPr>
        <w:t xml:space="preserve">0.5 </w:t>
      </w:r>
      <w:r w:rsidRPr="00AE0805">
        <w:rPr>
          <w:rFonts w:eastAsia="Aptos"/>
          <w:bCs/>
          <w:kern w:val="2"/>
          <w14:ligatures w14:val="standardContextual"/>
        </w:rPr>
        <w:lastRenderedPageBreak/>
        <w:t>g·L</w:t>
      </w:r>
      <w:r w:rsidRPr="00AE0805">
        <w:rPr>
          <w:rFonts w:eastAsia="Aptos"/>
          <w:bCs/>
          <w:kern w:val="2"/>
          <w:vertAlign w:val="superscript"/>
          <w14:ligatures w14:val="standardContextual"/>
        </w:rPr>
        <w:t>-1</w:t>
      </w:r>
      <w:r>
        <w:rPr>
          <w:rFonts w:eastAsia="Aptos"/>
          <w:bCs/>
          <w:kern w:val="2"/>
          <w14:ligatures w14:val="standardContextual"/>
        </w:rPr>
        <w:t xml:space="preserve"> as in Wang et al. (2025); this rate may be modified with trial).</w:t>
      </w:r>
      <w:r w:rsidRPr="00AE394E">
        <w:rPr>
          <w:rFonts w:eastAsia="Aptos"/>
          <w:bCs/>
          <w:kern w:val="2"/>
          <w14:ligatures w14:val="standardContextual"/>
        </w:rPr>
        <w:t xml:space="preserve"> </w:t>
      </w:r>
      <w:r>
        <w:rPr>
          <w:rFonts w:eastAsia="Aptos"/>
          <w:bCs/>
          <w:kern w:val="2"/>
          <w14:ligatures w14:val="standardContextual"/>
        </w:rPr>
        <w:t>L</w:t>
      </w:r>
      <w:r w:rsidRPr="00AE394E">
        <w:rPr>
          <w:rFonts w:eastAsia="Aptos"/>
          <w:bCs/>
          <w:kern w:val="2"/>
          <w14:ligatures w14:val="standardContextual"/>
        </w:rPr>
        <w:t>eaf and crowns will be excised</w:t>
      </w:r>
      <w:r>
        <w:rPr>
          <w:rFonts w:eastAsia="Aptos"/>
          <w:bCs/>
          <w:kern w:val="2"/>
          <w14:ligatures w14:val="standardContextual"/>
        </w:rPr>
        <w:t xml:space="preserve"> from half of the plant</w:t>
      </w:r>
      <w:r w:rsidRPr="00AE394E">
        <w:rPr>
          <w:rFonts w:eastAsia="Aptos"/>
          <w:bCs/>
          <w:kern w:val="2"/>
          <w14:ligatures w14:val="standardContextual"/>
        </w:rPr>
        <w:t xml:space="preserve"> and</w:t>
      </w:r>
      <w:r>
        <w:rPr>
          <w:rFonts w:eastAsia="Aptos"/>
          <w:bCs/>
          <w:kern w:val="2"/>
          <w14:ligatures w14:val="standardContextual"/>
        </w:rPr>
        <w:t xml:space="preserve"> tested</w:t>
      </w:r>
      <w:r w:rsidRPr="00AE394E">
        <w:rPr>
          <w:rFonts w:eastAsia="Aptos"/>
          <w:bCs/>
          <w:kern w:val="2"/>
          <w14:ligatures w14:val="standardContextual"/>
        </w:rPr>
        <w:t xml:space="preserve"> </w:t>
      </w:r>
      <w:r w:rsidRPr="00AE394E">
        <w:rPr>
          <w:rFonts w:eastAsia="Aptos"/>
          <w:bCs/>
          <w:i/>
          <w:iCs/>
          <w:kern w:val="2"/>
          <w14:ligatures w14:val="standardContextual"/>
        </w:rPr>
        <w:t>in vitro</w:t>
      </w:r>
      <w:r w:rsidRPr="00AE394E">
        <w:rPr>
          <w:rFonts w:eastAsia="Aptos"/>
          <w:bCs/>
          <w:kern w:val="2"/>
          <w14:ligatures w14:val="standardContextual"/>
        </w:rPr>
        <w:t xml:space="preserve"> to measure the moisture content</w:t>
      </w:r>
      <w:r>
        <w:rPr>
          <w:rFonts w:eastAsia="Aptos"/>
          <w:bCs/>
          <w:kern w:val="2"/>
          <w14:ligatures w14:val="standardContextual"/>
        </w:rPr>
        <w:t xml:space="preserve"> and</w:t>
      </w:r>
      <w:r w:rsidRPr="00AE394E">
        <w:rPr>
          <w:rFonts w:eastAsia="Aptos"/>
          <w:bCs/>
          <w:kern w:val="2"/>
          <w14:ligatures w14:val="standardContextual"/>
        </w:rPr>
        <w:t xml:space="preserve"> rate of water uptake of tissue during soaking (Wang et al., 2023)</w:t>
      </w:r>
      <w:r>
        <w:rPr>
          <w:rFonts w:eastAsia="Aptos"/>
          <w:bCs/>
          <w:kern w:val="2"/>
          <w14:ligatures w14:val="standardContextual"/>
        </w:rPr>
        <w:t xml:space="preserve"> and tissue will be saved in a -80̊C freezer for cuticle analysis. The remaining intact plant will go towards recovery in a greenhouse where light incidence, photochemical health (OJIP parameters including </w:t>
      </w:r>
      <w:proofErr w:type="spellStart"/>
      <w:r>
        <w:rPr>
          <w:rFonts w:eastAsia="Aptos"/>
          <w:bCs/>
          <w:kern w:val="2"/>
          <w14:ligatures w14:val="standardContextual"/>
        </w:rPr>
        <w:t>F</w:t>
      </w:r>
      <w:r w:rsidRPr="00FC7F4E">
        <w:rPr>
          <w:rFonts w:eastAsia="Aptos"/>
          <w:bCs/>
          <w:kern w:val="2"/>
          <w:vertAlign w:val="subscript"/>
          <w14:ligatures w14:val="standardContextual"/>
        </w:rPr>
        <w:t>v</w:t>
      </w:r>
      <w:proofErr w:type="spellEnd"/>
      <w:r>
        <w:rPr>
          <w:rFonts w:eastAsia="Aptos"/>
          <w:bCs/>
          <w:kern w:val="2"/>
          <w14:ligatures w14:val="standardContextual"/>
        </w:rPr>
        <w:t>/F</w:t>
      </w:r>
      <w:r w:rsidRPr="00FC7F4E">
        <w:rPr>
          <w:rFonts w:eastAsia="Aptos"/>
          <w:bCs/>
          <w:kern w:val="2"/>
          <w:vertAlign w:val="subscript"/>
          <w14:ligatures w14:val="standardContextual"/>
        </w:rPr>
        <w:t>o</w:t>
      </w:r>
      <w:r>
        <w:rPr>
          <w:rFonts w:eastAsia="Aptos"/>
          <w:bCs/>
          <w:kern w:val="2"/>
          <w14:ligatures w14:val="standardContextual"/>
        </w:rPr>
        <w:t>; Lootens et al., 2004), chlorophyll content (using not destructive meter), chlorophyll ratios (</w:t>
      </w:r>
      <w:proofErr w:type="spellStart"/>
      <w:r>
        <w:rPr>
          <w:rFonts w:eastAsia="Aptos"/>
          <w:bCs/>
          <w:kern w:val="2"/>
          <w14:ligatures w14:val="standardContextual"/>
        </w:rPr>
        <w:t>chl</w:t>
      </w:r>
      <w:proofErr w:type="spellEnd"/>
      <w:r>
        <w:rPr>
          <w:rFonts w:eastAsia="Aptos"/>
          <w:bCs/>
          <w:kern w:val="2"/>
          <w14:ligatures w14:val="standardContextual"/>
        </w:rPr>
        <w:t xml:space="preserve"> a, </w:t>
      </w:r>
      <w:proofErr w:type="spellStart"/>
      <w:r>
        <w:rPr>
          <w:rFonts w:eastAsia="Aptos"/>
          <w:bCs/>
          <w:kern w:val="2"/>
          <w14:ligatures w14:val="standardContextual"/>
        </w:rPr>
        <w:t>chl</w:t>
      </w:r>
      <w:proofErr w:type="spellEnd"/>
      <w:r>
        <w:rPr>
          <w:rFonts w:eastAsia="Aptos"/>
          <w:bCs/>
          <w:kern w:val="2"/>
          <w14:ligatures w14:val="standardContextual"/>
        </w:rPr>
        <w:t xml:space="preserve"> b, </w:t>
      </w:r>
      <w:proofErr w:type="spellStart"/>
      <w:r>
        <w:rPr>
          <w:rFonts w:eastAsia="Aptos"/>
          <w:bCs/>
          <w:kern w:val="2"/>
          <w14:ligatures w14:val="standardContextual"/>
        </w:rPr>
        <w:t>chl</w:t>
      </w:r>
      <w:proofErr w:type="spellEnd"/>
      <w:r>
        <w:rPr>
          <w:rFonts w:eastAsia="Aptos"/>
          <w:bCs/>
          <w:kern w:val="2"/>
          <w14:ligatures w14:val="standardContextual"/>
        </w:rPr>
        <w:t>, carotenoids), malondialdehyde content to indicate lipid peroxidation, green tiller counts, and digital image analysis for percent green cover will be measured.</w:t>
      </w:r>
    </w:p>
    <w:p w14:paraId="7A4A4A5C" w14:textId="77777777" w:rsidR="00FA3C5C" w:rsidRPr="00AE394E" w:rsidRDefault="00FA3C5C" w:rsidP="00FA3C5C">
      <w:pPr>
        <w:ind w:firstLine="360"/>
        <w:rPr>
          <w:rFonts w:eastAsia="Aptos"/>
          <w:kern w:val="2"/>
          <w14:ligatures w14:val="standardContextual"/>
        </w:rPr>
      </w:pPr>
      <w:r w:rsidRPr="00AE394E">
        <w:rPr>
          <w:rFonts w:eastAsia="Aptos"/>
          <w:b/>
          <w:bCs/>
          <w:kern w:val="2"/>
          <w14:ligatures w14:val="standardContextual"/>
        </w:rPr>
        <w:t xml:space="preserve">Objective 2 – </w:t>
      </w:r>
      <w:r>
        <w:rPr>
          <w:rFonts w:eastAsia="Aptos"/>
          <w:kern w:val="2"/>
          <w14:ligatures w14:val="standardContextual"/>
        </w:rPr>
        <w:t xml:space="preserve">Annual bluegrass plugs will be treated as described above and exposed to varying light conditions during winter (ice or no ice) in growth chamber conditions or following winter as a factorial experimental design (high 1000, med 500, low 100 </w:t>
      </w:r>
      <w:proofErr w:type="spellStart"/>
      <w:r>
        <w:rPr>
          <w:rFonts w:eastAsia="Aptos"/>
          <w:kern w:val="2"/>
          <w14:ligatures w14:val="standardContextual"/>
        </w:rPr>
        <w:t>μmol</w:t>
      </w:r>
      <w:proofErr w:type="spellEnd"/>
      <w:r>
        <w:rPr>
          <w:rFonts w:eastAsia="Aptos"/>
          <w:kern w:val="2"/>
          <w14:ligatures w14:val="standardContextual"/>
        </w:rPr>
        <w:t xml:space="preserve"> m</w:t>
      </w:r>
      <w:r w:rsidRPr="00863765">
        <w:rPr>
          <w:rFonts w:eastAsia="Aptos"/>
          <w:kern w:val="2"/>
          <w:vertAlign w:val="superscript"/>
          <w14:ligatures w14:val="standardContextual"/>
        </w:rPr>
        <w:t>-2</w:t>
      </w:r>
      <w:r>
        <w:rPr>
          <w:rFonts w:eastAsia="Aptos"/>
          <w:kern w:val="2"/>
          <w14:ligatures w14:val="standardContextual"/>
        </w:rPr>
        <w:t xml:space="preserve"> s</w:t>
      </w:r>
      <w:r w:rsidRPr="00863765">
        <w:rPr>
          <w:rFonts w:eastAsia="Aptos"/>
          <w:kern w:val="2"/>
          <w:vertAlign w:val="superscript"/>
          <w14:ligatures w14:val="standardContextual"/>
        </w:rPr>
        <w:t>-1</w:t>
      </w:r>
      <w:r>
        <w:rPr>
          <w:rFonts w:eastAsia="Aptos"/>
          <w:kern w:val="2"/>
          <w14:ligatures w14:val="standardContextual"/>
        </w:rPr>
        <w:t xml:space="preserve">). Growth chambers will be set to the desired light </w:t>
      </w:r>
      <w:proofErr w:type="gramStart"/>
      <w:r>
        <w:rPr>
          <w:rFonts w:eastAsia="Aptos"/>
          <w:kern w:val="2"/>
          <w14:ligatures w14:val="standardContextual"/>
        </w:rPr>
        <w:t>levels</w:t>
      </w:r>
      <w:proofErr w:type="gramEnd"/>
      <w:r>
        <w:rPr>
          <w:rFonts w:eastAsia="Aptos"/>
          <w:kern w:val="2"/>
          <w14:ligatures w14:val="standardContextual"/>
        </w:rPr>
        <w:t xml:space="preserve"> and light incidence will be monitored with a light meter at canopy height. While ice will reduce actual incidence of light plants are receiving, this would be uniform for all plants under the ice and not limit interpretation.  Recovery, photochemical health, and plant tissue will be harvested and preserved for health analysis as described in objective 1. </w:t>
      </w:r>
    </w:p>
    <w:p w14:paraId="0F139BBE" w14:textId="77777777" w:rsidR="00FA3C5C" w:rsidRDefault="00FA3C5C" w:rsidP="00FA3C5C">
      <w:pPr>
        <w:ind w:firstLine="360"/>
        <w:rPr>
          <w:rFonts w:eastAsia="Aptos"/>
          <w:kern w:val="2"/>
          <w14:ligatures w14:val="standardContextual"/>
        </w:rPr>
      </w:pPr>
      <w:r w:rsidRPr="00AE394E">
        <w:rPr>
          <w:rFonts w:eastAsia="Aptos"/>
          <w:b/>
          <w:bCs/>
          <w:kern w:val="2"/>
          <w14:ligatures w14:val="standardContextual"/>
        </w:rPr>
        <w:t xml:space="preserve">Objective 3 </w:t>
      </w:r>
      <w:r>
        <w:rPr>
          <w:rFonts w:eastAsia="Aptos"/>
          <w:b/>
          <w:bCs/>
          <w:kern w:val="2"/>
          <w14:ligatures w14:val="standardContextual"/>
        </w:rPr>
        <w:t>–</w:t>
      </w:r>
      <w:r w:rsidRPr="00AE394E">
        <w:rPr>
          <w:rFonts w:eastAsia="Aptos"/>
          <w:b/>
          <w:bCs/>
          <w:kern w:val="2"/>
          <w14:ligatures w14:val="standardContextual"/>
        </w:rPr>
        <w:t xml:space="preserve"> </w:t>
      </w:r>
      <w:r w:rsidRPr="00712744">
        <w:rPr>
          <w:rFonts w:eastAsia="Aptos"/>
          <w:kern w:val="2"/>
          <w14:ligatures w14:val="standardContextual"/>
        </w:rPr>
        <w:t xml:space="preserve">Preliminary </w:t>
      </w:r>
      <w:r>
        <w:rPr>
          <w:rFonts w:eastAsia="Aptos"/>
          <w:kern w:val="2"/>
          <w14:ligatures w14:val="standardContextual"/>
        </w:rPr>
        <w:t xml:space="preserve">growth chamber experiments of annual bluegrass will </w:t>
      </w:r>
      <w:r w:rsidRPr="00712744">
        <w:rPr>
          <w:rFonts w:eastAsia="Aptos"/>
          <w:kern w:val="2"/>
          <w14:ligatures w14:val="standardContextual"/>
        </w:rPr>
        <w:t>test for any toxicity</w:t>
      </w:r>
      <w:r>
        <w:rPr>
          <w:rFonts w:eastAsia="Aptos"/>
          <w:kern w:val="2"/>
          <w14:ligatures w14:val="standardContextual"/>
        </w:rPr>
        <w:t xml:space="preserve"> and resolve application issues and rates needed for good coverage prior to field treatments. Subsequently, a two-year</w:t>
      </w:r>
      <w:r>
        <w:rPr>
          <w:rFonts w:eastAsia="Aptos"/>
          <w:bCs/>
          <w:kern w:val="2"/>
          <w14:ligatures w14:val="standardContextual"/>
        </w:rPr>
        <w:t xml:space="preserve"> field study at the Hancock Turfgrass Research Center will be performed to evaluate spring protective effects of 1) kaolin clay dry application 2) a</w:t>
      </w:r>
      <w:r w:rsidRPr="00AE394E">
        <w:rPr>
          <w:rFonts w:eastAsia="Aptos"/>
          <w:bCs/>
          <w:kern w:val="2"/>
          <w14:ligatures w14:val="standardContextual"/>
        </w:rPr>
        <w:t xml:space="preserve"> product </w:t>
      </w:r>
      <w:r>
        <w:rPr>
          <w:rFonts w:eastAsia="Aptos"/>
          <w:bCs/>
          <w:kern w:val="2"/>
          <w14:ligatures w14:val="standardContextual"/>
        </w:rPr>
        <w:t xml:space="preserve">called </w:t>
      </w:r>
      <w:r w:rsidRPr="00AE394E">
        <w:rPr>
          <w:rFonts w:eastAsia="Aptos"/>
          <w:bCs/>
          <w:kern w:val="2"/>
          <w14:ligatures w14:val="standardContextual"/>
        </w:rPr>
        <w:t>Surround</w:t>
      </w:r>
      <w:r>
        <w:rPr>
          <w:rFonts w:eastAsia="Aptos"/>
          <w:bCs/>
          <w:kern w:val="2"/>
          <w14:ligatures w14:val="standardContextual"/>
        </w:rPr>
        <w:t xml:space="preserve"> (</w:t>
      </w:r>
      <w:proofErr w:type="spellStart"/>
      <w:r>
        <w:rPr>
          <w:rFonts w:eastAsia="Aptos"/>
          <w:bCs/>
          <w:kern w:val="2"/>
          <w14:ligatures w14:val="standardContextual"/>
        </w:rPr>
        <w:t>NovaSource</w:t>
      </w:r>
      <w:proofErr w:type="spellEnd"/>
      <w:r>
        <w:rPr>
          <w:rFonts w:eastAsia="Aptos"/>
          <w:bCs/>
          <w:kern w:val="2"/>
          <w14:ligatures w14:val="standardContextual"/>
        </w:rPr>
        <w:t xml:space="preserve"> WP Crop Protectant, more soluble in water) as a wet application 3)</w:t>
      </w:r>
      <w:r w:rsidRPr="00AE394E">
        <w:rPr>
          <w:rFonts w:eastAsia="Aptos"/>
          <w:kern w:val="2"/>
          <w14:ligatures w14:val="standardContextual"/>
        </w:rPr>
        <w:t xml:space="preserve"> </w:t>
      </w:r>
      <w:r>
        <w:rPr>
          <w:rFonts w:eastAsia="Aptos"/>
          <w:kern w:val="2"/>
          <w14:ligatures w14:val="standardContextual"/>
        </w:rPr>
        <w:t>t</w:t>
      </w:r>
      <w:r w:rsidRPr="00AE394E">
        <w:rPr>
          <w:rFonts w:eastAsia="Aptos"/>
          <w:kern w:val="2"/>
          <w14:ligatures w14:val="standardContextual"/>
        </w:rPr>
        <w:t>alc</w:t>
      </w:r>
      <w:r>
        <w:rPr>
          <w:rFonts w:eastAsia="Aptos"/>
          <w:kern w:val="2"/>
          <w14:ligatures w14:val="standardContextual"/>
        </w:rPr>
        <w:t xml:space="preserve"> treatment</w:t>
      </w:r>
      <w:r w:rsidRPr="00AE394E">
        <w:rPr>
          <w:rFonts w:eastAsia="Aptos"/>
          <w:kern w:val="2"/>
          <w14:ligatures w14:val="standardContextual"/>
        </w:rPr>
        <w:t xml:space="preserve"> </w:t>
      </w:r>
      <w:r>
        <w:rPr>
          <w:rFonts w:eastAsia="Aptos"/>
          <w:kern w:val="2"/>
          <w14:ligatures w14:val="standardContextual"/>
        </w:rPr>
        <w:t>(</w:t>
      </w:r>
      <w:r w:rsidRPr="00AE394E">
        <w:rPr>
          <w:rFonts w:eastAsia="Aptos"/>
          <w:kern w:val="2"/>
          <w14:ligatures w14:val="standardContextual"/>
        </w:rPr>
        <w:t>more hydrophobic compared to kaolin clay)</w:t>
      </w:r>
      <w:r>
        <w:rPr>
          <w:rFonts w:eastAsia="Aptos"/>
          <w:kern w:val="2"/>
          <w14:ligatures w14:val="standardContextual"/>
        </w:rPr>
        <w:t xml:space="preserve"> 4) a shade cloth treatment for 5 days 5) shade cloth for 10 days and 6) no treatment. Timing of </w:t>
      </w:r>
      <w:proofErr w:type="gramStart"/>
      <w:r>
        <w:rPr>
          <w:rFonts w:eastAsia="Aptos"/>
          <w:kern w:val="2"/>
          <w14:ligatures w14:val="standardContextual"/>
        </w:rPr>
        <w:t>these application</w:t>
      </w:r>
      <w:proofErr w:type="gramEnd"/>
      <w:r>
        <w:rPr>
          <w:rFonts w:eastAsia="Aptos"/>
          <w:kern w:val="2"/>
          <w14:ligatures w14:val="standardContextual"/>
        </w:rPr>
        <w:t xml:space="preserve"> will </w:t>
      </w:r>
      <w:proofErr w:type="gramStart"/>
      <w:r>
        <w:rPr>
          <w:rFonts w:eastAsia="Aptos"/>
          <w:kern w:val="2"/>
          <w14:ligatures w14:val="standardContextual"/>
        </w:rPr>
        <w:t>be made</w:t>
      </w:r>
      <w:proofErr w:type="gramEnd"/>
      <w:r>
        <w:rPr>
          <w:rFonts w:eastAsia="Aptos"/>
          <w:kern w:val="2"/>
          <w14:ligatures w14:val="standardContextual"/>
        </w:rPr>
        <w:t xml:space="preserve"> based on weather predictions and may be made on </w:t>
      </w:r>
      <w:proofErr w:type="gramStart"/>
      <w:r>
        <w:rPr>
          <w:rFonts w:eastAsia="Aptos"/>
          <w:kern w:val="2"/>
          <w14:ligatures w14:val="standardContextual"/>
        </w:rPr>
        <w:t>an</w:t>
      </w:r>
      <w:proofErr w:type="gramEnd"/>
      <w:r>
        <w:rPr>
          <w:rFonts w:eastAsia="Aptos"/>
          <w:kern w:val="2"/>
          <w14:ligatures w14:val="standardContextual"/>
        </w:rPr>
        <w:t xml:space="preserve"> as needed frequency. Light incidence in the field and under the shade cloths will be tracked. Shade cloths will be pinned down to turf plots. Digital image analysis will be performed to monitor coverage of the white powder. Duration of treatment persistence on the leaves will be tracked and normalized </w:t>
      </w:r>
      <w:proofErr w:type="gramStart"/>
      <w:r>
        <w:rPr>
          <w:rFonts w:eastAsia="Aptos"/>
          <w:kern w:val="2"/>
          <w14:ligatures w14:val="standardContextual"/>
        </w:rPr>
        <w:t>difference</w:t>
      </w:r>
      <w:proofErr w:type="gramEnd"/>
      <w:r>
        <w:rPr>
          <w:rFonts w:eastAsia="Aptos"/>
          <w:kern w:val="2"/>
          <w14:ligatures w14:val="standardContextual"/>
        </w:rPr>
        <w:t xml:space="preserve"> vegetative index, chlorophyll content, turf quality and crown viability (triphenyl tetrazolium chloride method) will be measured on field plots during the fall and spring seasons until plots are fully recovered.</w:t>
      </w:r>
    </w:p>
    <w:p w14:paraId="0815907D" w14:textId="77777777" w:rsidR="00EB7995" w:rsidRDefault="00EB7995" w:rsidP="00584C4F">
      <w:pPr>
        <w:jc w:val="both"/>
      </w:pPr>
    </w:p>
    <w:p w14:paraId="24B63860" w14:textId="1A804B44" w:rsidR="000B1F7C" w:rsidRPr="0046008B" w:rsidRDefault="000B1F7C" w:rsidP="00AA1A13">
      <w:pPr>
        <w:jc w:val="both"/>
      </w:pPr>
      <w:r>
        <w:rPr>
          <w:u w:val="single"/>
        </w:rPr>
        <w:t>Benefit group -</w:t>
      </w:r>
      <w:r w:rsidRPr="0061020A">
        <w:t xml:space="preserve"> The benefit groups include golf courses, athletic fields, </w:t>
      </w:r>
      <w:proofErr w:type="spellStart"/>
      <w:r w:rsidRPr="0061020A">
        <w:t>homelawns</w:t>
      </w:r>
      <w:proofErr w:type="spellEnd"/>
      <w:r w:rsidRPr="0061020A">
        <w:t xml:space="preserve">, and </w:t>
      </w:r>
      <w:r w:rsidRPr="0046008B">
        <w:t>turfgrass scientists since the project outcome is new knowledge of turfgrass winter</w:t>
      </w:r>
      <w:r w:rsidR="00AA1A13">
        <w:t xml:space="preserve"> recovery</w:t>
      </w:r>
      <w:r w:rsidRPr="0046008B">
        <w:t xml:space="preserve"> </w:t>
      </w:r>
      <w:r w:rsidR="007614D7">
        <w:t>that can be used in management,</w:t>
      </w:r>
      <w:r w:rsidRPr="0046008B">
        <w:t xml:space="preserve"> research</w:t>
      </w:r>
      <w:r w:rsidR="007614D7">
        <w:t>,</w:t>
      </w:r>
      <w:r w:rsidRPr="0046008B">
        <w:t xml:space="preserve"> and breeding purposes.</w:t>
      </w:r>
    </w:p>
    <w:p w14:paraId="7D9D850D" w14:textId="77777777" w:rsidR="000B1F7C" w:rsidRPr="0046008B" w:rsidRDefault="000B1F7C" w:rsidP="000B1F7C">
      <w:pPr>
        <w:pStyle w:val="xmsonormal"/>
        <w:shd w:val="clear" w:color="auto" w:fill="FFFFFF"/>
        <w:spacing w:before="0" w:beforeAutospacing="0" w:after="0" w:afterAutospacing="0" w:line="235" w:lineRule="atLeast"/>
        <w:ind w:left="288"/>
        <w:textAlignment w:val="baseline"/>
        <w:rPr>
          <w:u w:val="single"/>
        </w:rPr>
      </w:pPr>
    </w:p>
    <w:p w14:paraId="3ABAA0C3" w14:textId="0BAF672E" w:rsidR="000B1F7C" w:rsidRDefault="000B1F7C" w:rsidP="000B1F7C">
      <w:pPr>
        <w:jc w:val="both"/>
        <w:rPr>
          <w:bdr w:val="none" w:sz="0" w:space="0" w:color="auto" w:frame="1"/>
        </w:rPr>
      </w:pPr>
      <w:r w:rsidRPr="0046008B">
        <w:rPr>
          <w:u w:val="single"/>
        </w:rPr>
        <w:t>Estimated project duration</w:t>
      </w:r>
      <w:r w:rsidRPr="0046008B">
        <w:rPr>
          <w:bdr w:val="none" w:sz="0" w:space="0" w:color="auto" w:frame="1"/>
        </w:rPr>
        <w:t xml:space="preserve"> – </w:t>
      </w:r>
      <w:r w:rsidR="00AA1A13">
        <w:rPr>
          <w:bdr w:val="none" w:sz="0" w:space="0" w:color="auto" w:frame="1"/>
        </w:rPr>
        <w:t>2</w:t>
      </w:r>
      <w:r w:rsidRPr="0046008B">
        <w:rPr>
          <w:bdr w:val="none" w:sz="0" w:space="0" w:color="auto" w:frame="1"/>
        </w:rPr>
        <w:t xml:space="preserve"> years (202</w:t>
      </w:r>
      <w:r w:rsidR="00AA1A13">
        <w:rPr>
          <w:bdr w:val="none" w:sz="0" w:space="0" w:color="auto" w:frame="1"/>
        </w:rPr>
        <w:t>5</w:t>
      </w:r>
      <w:r w:rsidRPr="0046008B">
        <w:rPr>
          <w:bdr w:val="none" w:sz="0" w:space="0" w:color="auto" w:frame="1"/>
        </w:rPr>
        <w:t>-202</w:t>
      </w:r>
      <w:r w:rsidR="00AA1A13">
        <w:rPr>
          <w:bdr w:val="none" w:sz="0" w:space="0" w:color="auto" w:frame="1"/>
        </w:rPr>
        <w:t>7)</w:t>
      </w:r>
      <w:r w:rsidR="007614D7">
        <w:rPr>
          <w:bdr w:val="none" w:sz="0" w:space="0" w:color="auto" w:frame="1"/>
        </w:rPr>
        <w:t xml:space="preserve"> Supplemental to f</w:t>
      </w:r>
      <w:r w:rsidR="00AA1A13">
        <w:rPr>
          <w:bdr w:val="none" w:sz="0" w:space="0" w:color="auto" w:frame="1"/>
        </w:rPr>
        <w:t xml:space="preserve">unding from </w:t>
      </w:r>
      <w:r w:rsidR="00AF762D">
        <w:rPr>
          <w:bdr w:val="none" w:sz="0" w:space="0" w:color="auto" w:frame="1"/>
        </w:rPr>
        <w:t xml:space="preserve">Project </w:t>
      </w:r>
      <w:r w:rsidR="009A734A">
        <w:rPr>
          <w:bdr w:val="none" w:sz="0" w:space="0" w:color="auto" w:frame="1"/>
        </w:rPr>
        <w:t>GREEEN</w:t>
      </w:r>
    </w:p>
    <w:p w14:paraId="531D42A1" w14:textId="77777777" w:rsidR="00E119B2" w:rsidRDefault="00E119B2" w:rsidP="000B1F7C">
      <w:pPr>
        <w:jc w:val="both"/>
        <w:rPr>
          <w:bdr w:val="none" w:sz="0" w:space="0" w:color="auto" w:frame="1"/>
        </w:rPr>
      </w:pPr>
    </w:p>
    <w:p w14:paraId="1BDC3E0C" w14:textId="77777777" w:rsidR="009A210E" w:rsidRDefault="009A210E" w:rsidP="000B1F7C">
      <w:pPr>
        <w:jc w:val="both"/>
        <w:rPr>
          <w:bdr w:val="none" w:sz="0" w:space="0" w:color="auto" w:frame="1"/>
        </w:rPr>
      </w:pPr>
    </w:p>
    <w:p w14:paraId="561F84D2" w14:textId="77777777" w:rsidR="009A210E" w:rsidRDefault="009A210E" w:rsidP="000B1F7C">
      <w:pPr>
        <w:jc w:val="both"/>
        <w:rPr>
          <w:bdr w:val="none" w:sz="0" w:space="0" w:color="auto" w:frame="1"/>
        </w:rPr>
      </w:pPr>
    </w:p>
    <w:p w14:paraId="70309323" w14:textId="77777777" w:rsidR="009A210E" w:rsidRDefault="009A210E" w:rsidP="000B1F7C">
      <w:pPr>
        <w:jc w:val="both"/>
        <w:rPr>
          <w:bdr w:val="none" w:sz="0" w:space="0" w:color="auto" w:frame="1"/>
        </w:rPr>
      </w:pPr>
    </w:p>
    <w:p w14:paraId="4398522C" w14:textId="77777777" w:rsidR="009A210E" w:rsidRDefault="009A210E" w:rsidP="000B1F7C">
      <w:pPr>
        <w:jc w:val="both"/>
        <w:rPr>
          <w:bdr w:val="none" w:sz="0" w:space="0" w:color="auto" w:frame="1"/>
        </w:rPr>
      </w:pPr>
    </w:p>
    <w:p w14:paraId="0A02355F" w14:textId="77777777" w:rsidR="009A210E" w:rsidRDefault="009A210E" w:rsidP="000B1F7C">
      <w:pPr>
        <w:jc w:val="both"/>
        <w:rPr>
          <w:bdr w:val="none" w:sz="0" w:space="0" w:color="auto" w:frame="1"/>
        </w:rPr>
      </w:pPr>
    </w:p>
    <w:p w14:paraId="79B15E55" w14:textId="77777777" w:rsidR="009A210E" w:rsidRDefault="009A210E" w:rsidP="000B1F7C">
      <w:pPr>
        <w:jc w:val="both"/>
        <w:rPr>
          <w:bdr w:val="none" w:sz="0" w:space="0" w:color="auto" w:frame="1"/>
        </w:rPr>
      </w:pPr>
    </w:p>
    <w:p w14:paraId="639F6B23" w14:textId="77777777" w:rsidR="009A210E" w:rsidRDefault="009A210E" w:rsidP="000B1F7C">
      <w:pPr>
        <w:jc w:val="both"/>
        <w:rPr>
          <w:bdr w:val="none" w:sz="0" w:space="0" w:color="auto" w:frame="1"/>
        </w:rPr>
      </w:pPr>
    </w:p>
    <w:p w14:paraId="64DB35CB" w14:textId="77777777" w:rsidR="009A210E" w:rsidRDefault="009A210E" w:rsidP="000B1F7C">
      <w:pPr>
        <w:jc w:val="both"/>
        <w:rPr>
          <w:bdr w:val="none" w:sz="0" w:space="0" w:color="auto" w:frame="1"/>
        </w:rPr>
      </w:pPr>
    </w:p>
    <w:p w14:paraId="77F2332D" w14:textId="77777777" w:rsidR="009A210E" w:rsidRDefault="009A210E" w:rsidP="000B1F7C">
      <w:pPr>
        <w:jc w:val="both"/>
        <w:rPr>
          <w:bdr w:val="none" w:sz="0" w:space="0" w:color="auto" w:frame="1"/>
        </w:rPr>
      </w:pPr>
    </w:p>
    <w:p w14:paraId="6A66F78D" w14:textId="77777777" w:rsidR="009A210E" w:rsidRDefault="009A210E" w:rsidP="000B1F7C">
      <w:pPr>
        <w:jc w:val="both"/>
        <w:rPr>
          <w:bdr w:val="none" w:sz="0" w:space="0" w:color="auto" w:frame="1"/>
        </w:rPr>
      </w:pPr>
    </w:p>
    <w:p w14:paraId="0F8D7E39" w14:textId="5936A88C" w:rsidR="00E119B2" w:rsidRDefault="00E119B2" w:rsidP="000B1F7C">
      <w:pPr>
        <w:jc w:val="both"/>
        <w:rPr>
          <w:bdr w:val="none" w:sz="0" w:space="0" w:color="auto" w:frame="1"/>
        </w:rPr>
      </w:pPr>
      <w:r>
        <w:rPr>
          <w:bdr w:val="none" w:sz="0" w:space="0" w:color="auto" w:frame="1"/>
        </w:rPr>
        <w:lastRenderedPageBreak/>
        <w:t xml:space="preserve">Figure 1 </w:t>
      </w:r>
      <w:r w:rsidR="00454278">
        <w:rPr>
          <w:bdr w:val="none" w:sz="0" w:space="0" w:color="auto" w:frame="1"/>
        </w:rPr>
        <w:t>–</w:t>
      </w:r>
      <w:r>
        <w:rPr>
          <w:bdr w:val="none" w:sz="0" w:space="0" w:color="auto" w:frame="1"/>
        </w:rPr>
        <w:t xml:space="preserve"> </w:t>
      </w:r>
      <w:r w:rsidR="00454278">
        <w:rPr>
          <w:bdr w:val="none" w:sz="0" w:space="0" w:color="auto" w:frame="1"/>
        </w:rPr>
        <w:t>Ice encasement treatments in controlled growth chambers</w:t>
      </w:r>
      <w:r w:rsidR="00464DC0">
        <w:rPr>
          <w:bdr w:val="none" w:sz="0" w:space="0" w:color="auto" w:frame="1"/>
        </w:rPr>
        <w:t xml:space="preserve"> using pots dipped in paraffin wax and acetate sheeting wrapped around the rim. </w:t>
      </w:r>
    </w:p>
    <w:p w14:paraId="2C5F11EA" w14:textId="0EBE9805" w:rsidR="000C1AA1" w:rsidRDefault="00393182" w:rsidP="000B1F7C">
      <w:pPr>
        <w:jc w:val="both"/>
        <w:rPr>
          <w:bdr w:val="none" w:sz="0" w:space="0" w:color="auto" w:frame="1"/>
        </w:rPr>
      </w:pPr>
      <w:r>
        <w:rPr>
          <w:noProof/>
        </w:rPr>
        <w:drawing>
          <wp:inline distT="0" distB="0" distL="0" distR="0" wp14:anchorId="40DAB4CF" wp14:editId="3AE3B8EF">
            <wp:extent cx="5161905" cy="2361905"/>
            <wp:effectExtent l="0" t="0" r="1270" b="635"/>
            <wp:docPr id="1497667470" name="Picture 1" descr="Photograph showing multiple glass containers with condensation on lids, arranged on a metal rack, likely used for scientific or botanical experiments. Close-up view highlights green plant material inside containers and moisture buildup, indicating controlled humidity or growth condi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667470" name="Picture 1" descr="Photograph showing multiple glass containers with condensation on lids, arranged on a metal rack, likely used for scientific or botanical experiments. Close-up view highlights green plant material inside containers and moisture buildup, indicating controlled humidity or growth conditions.&#10;&#10;AI-generated content may be incorrect."/>
                    <pic:cNvPicPr/>
                  </pic:nvPicPr>
                  <pic:blipFill>
                    <a:blip r:embed="rId5"/>
                    <a:stretch>
                      <a:fillRect/>
                    </a:stretch>
                  </pic:blipFill>
                  <pic:spPr>
                    <a:xfrm>
                      <a:off x="0" y="0"/>
                      <a:ext cx="5161905" cy="2361905"/>
                    </a:xfrm>
                    <a:prstGeom prst="rect">
                      <a:avLst/>
                    </a:prstGeom>
                  </pic:spPr>
                </pic:pic>
              </a:graphicData>
            </a:graphic>
          </wp:inline>
        </w:drawing>
      </w:r>
      <w:r w:rsidR="00706CCE">
        <w:rPr>
          <w:noProof/>
        </w:rPr>
        <w:drawing>
          <wp:anchor distT="0" distB="0" distL="114300" distR="114300" simplePos="0" relativeHeight="251656192" behindDoc="0" locked="0" layoutInCell="1" allowOverlap="1" wp14:anchorId="2D4C450B" wp14:editId="466C8EDE">
            <wp:simplePos x="0" y="0"/>
            <wp:positionH relativeFrom="column">
              <wp:posOffset>-3813810</wp:posOffset>
            </wp:positionH>
            <wp:positionV relativeFrom="paragraph">
              <wp:posOffset>281920</wp:posOffset>
            </wp:positionV>
            <wp:extent cx="1312211" cy="2203869"/>
            <wp:effectExtent l="19050" t="19050" r="21590" b="25400"/>
            <wp:wrapNone/>
            <wp:docPr id="1809015455" name="Picture 651542046">
              <a:extLst xmlns:a="http://schemas.openxmlformats.org/drawingml/2006/main">
                <a:ext uri="{FF2B5EF4-FFF2-40B4-BE49-F238E27FC236}">
                  <a16:creationId xmlns:a16="http://schemas.microsoft.com/office/drawing/2014/main" id="{D1876A60-055E-AEC1-D11E-CB569CB1CC05}"/>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9015455" name="Picture 651542046">
                      <a:extLst>
                        <a:ext uri="{FF2B5EF4-FFF2-40B4-BE49-F238E27FC236}">
                          <a16:creationId xmlns:a16="http://schemas.microsoft.com/office/drawing/2014/main" id="{D1876A60-055E-AEC1-D11E-CB569CB1CC05}"/>
                        </a:ext>
                      </a:extLst>
                    </pic:cNvPr>
                    <pic:cNvPicPr preferRelativeResize="0">
                      <a:picLocks/>
                    </pic:cNvPicPr>
                  </pic:nvPicPr>
                  <pic:blipFill rotWithShape="1">
                    <a:blip r:embed="rId6"/>
                    <a:srcRect l="50006" t="16279" r="2542" b="19884"/>
                    <a:stretch/>
                  </pic:blipFill>
                  <pic:spPr>
                    <a:xfrm>
                      <a:off x="0" y="0"/>
                      <a:ext cx="1312211" cy="2203869"/>
                    </a:xfrm>
                    <a:prstGeom prst="rect">
                      <a:avLst/>
                    </a:prstGeom>
                    <a:ln w="19050">
                      <a:solidFill>
                        <a:schemeClr val="tx1"/>
                      </a:solidFill>
                      <a:extLst>
                        <a:ext uri="{C807C97D-BFC1-408E-A445-0C87EB9F89A2}">
                          <ask:lineSketchStyleProps xmlns:ask="http://schemas.microsoft.com/office/drawing/2018/sketchyshapes">
                            <ask:type>
                              <ask:lineSketchNone/>
                            </ask:type>
                          </ask:lineSketchStyleProps>
                        </a:ext>
                      </a:extLst>
                    </a:ln>
                  </pic:spPr>
                </pic:pic>
              </a:graphicData>
            </a:graphic>
          </wp:anchor>
        </w:drawing>
      </w:r>
    </w:p>
    <w:p w14:paraId="739FFA16" w14:textId="69A8D80F" w:rsidR="00706CCE" w:rsidRDefault="00706CCE" w:rsidP="000B1F7C">
      <w:pPr>
        <w:jc w:val="both"/>
        <w:rPr>
          <w:bdr w:val="none" w:sz="0" w:space="0" w:color="auto" w:frame="1"/>
        </w:rPr>
      </w:pPr>
    </w:p>
    <w:p w14:paraId="6AD91789" w14:textId="08502D29" w:rsidR="00706CCE" w:rsidRDefault="00706CCE" w:rsidP="000B1F7C">
      <w:pPr>
        <w:jc w:val="both"/>
        <w:rPr>
          <w:bdr w:val="none" w:sz="0" w:space="0" w:color="auto" w:frame="1"/>
        </w:rPr>
      </w:pPr>
    </w:p>
    <w:p w14:paraId="40DB9E9B" w14:textId="203CC5F4" w:rsidR="00706CCE" w:rsidRDefault="00706CCE" w:rsidP="000B1F7C">
      <w:pPr>
        <w:jc w:val="both"/>
        <w:rPr>
          <w:bdr w:val="none" w:sz="0" w:space="0" w:color="auto" w:frame="1"/>
        </w:rPr>
      </w:pPr>
    </w:p>
    <w:p w14:paraId="017B2A40" w14:textId="0FC2609B" w:rsidR="00706CCE" w:rsidRDefault="00706CCE" w:rsidP="000B1F7C">
      <w:pPr>
        <w:jc w:val="both"/>
        <w:rPr>
          <w:bdr w:val="none" w:sz="0" w:space="0" w:color="auto" w:frame="1"/>
        </w:rPr>
      </w:pPr>
    </w:p>
    <w:p w14:paraId="547C4B95" w14:textId="6E64EC3F" w:rsidR="00C261D2" w:rsidRDefault="00C261D2" w:rsidP="00C261D2">
      <w:pPr>
        <w:jc w:val="both"/>
        <w:rPr>
          <w:bdr w:val="none" w:sz="0" w:space="0" w:color="auto" w:frame="1"/>
        </w:rPr>
      </w:pPr>
      <w:r w:rsidRPr="00C261D2">
        <w:rPr>
          <w:bdr w:val="none" w:sz="0" w:space="0" w:color="auto" w:frame="1"/>
        </w:rPr>
        <w:t>Figure 2: 2025 spring recovery</w:t>
      </w:r>
      <w:r>
        <w:rPr>
          <w:bdr w:val="none" w:sz="0" w:space="0" w:color="auto" w:frame="1"/>
        </w:rPr>
        <w:t xml:space="preserve"> and protective treatment</w:t>
      </w:r>
      <w:r w:rsidRPr="00C261D2">
        <w:rPr>
          <w:bdr w:val="none" w:sz="0" w:space="0" w:color="auto" w:frame="1"/>
        </w:rPr>
        <w:t xml:space="preserve"> test of two levels of Kaolin clay and mesh </w:t>
      </w:r>
      <w:r>
        <w:rPr>
          <w:bdr w:val="none" w:sz="0" w:space="0" w:color="auto" w:frame="1"/>
        </w:rPr>
        <w:t xml:space="preserve">shade </w:t>
      </w:r>
      <w:r w:rsidRPr="00C261D2">
        <w:rPr>
          <w:bdr w:val="none" w:sz="0" w:space="0" w:color="auto" w:frame="1"/>
        </w:rPr>
        <w:t>cover</w:t>
      </w:r>
      <w:r>
        <w:rPr>
          <w:bdr w:val="none" w:sz="0" w:space="0" w:color="auto" w:frame="1"/>
        </w:rPr>
        <w:t>s</w:t>
      </w:r>
      <w:r w:rsidRPr="00C261D2">
        <w:rPr>
          <w:bdr w:val="none" w:sz="0" w:space="0" w:color="auto" w:frame="1"/>
        </w:rPr>
        <w:t xml:space="preserve"> on </w:t>
      </w:r>
      <w:r>
        <w:rPr>
          <w:bdr w:val="none" w:sz="0" w:space="0" w:color="auto" w:frame="1"/>
        </w:rPr>
        <w:t>annual bluegrass putting greens</w:t>
      </w:r>
    </w:p>
    <w:p w14:paraId="7242F8B0" w14:textId="77777777" w:rsidR="0005039A" w:rsidRDefault="0005039A" w:rsidP="000B1F7C">
      <w:pPr>
        <w:jc w:val="both"/>
        <w:rPr>
          <w:bdr w:val="none" w:sz="0" w:space="0" w:color="auto" w:frame="1"/>
        </w:rPr>
      </w:pPr>
    </w:p>
    <w:p w14:paraId="7BE041C7" w14:textId="218C530E" w:rsidR="0005039A" w:rsidRDefault="004C286D" w:rsidP="000B1F7C">
      <w:pPr>
        <w:jc w:val="both"/>
        <w:rPr>
          <w:bdr w:val="none" w:sz="0" w:space="0" w:color="auto" w:frame="1"/>
        </w:rPr>
      </w:pPr>
      <w:r w:rsidRPr="004C286D">
        <w:rPr>
          <w:noProof/>
          <w:bdr w:val="none" w:sz="0" w:space="0" w:color="auto" w:frame="1"/>
        </w:rPr>
        <w:drawing>
          <wp:inline distT="0" distB="0" distL="0" distR="0" wp14:anchorId="1F5AFAE8" wp14:editId="77A56547">
            <wp:extent cx="3781425" cy="2836069"/>
            <wp:effectExtent l="0" t="0" r="0" b="2540"/>
            <wp:docPr id="28" name="图片 27" descr="Photograph of a grass field marked with a grid of white chalk lines and black rectangular patches, resembling a testing or experimental layout. The grid includes alphanumeric labels and numerical values, possibly indicating different test conditions or measurements related to each patch.&#10;&#10;AI-generated content may be incorrect.">
              <a:extLst xmlns:a="http://schemas.openxmlformats.org/drawingml/2006/main">
                <a:ext uri="{FF2B5EF4-FFF2-40B4-BE49-F238E27FC236}">
                  <a16:creationId xmlns:a16="http://schemas.microsoft.com/office/drawing/2014/main" id="{7E151D5B-B5E9-6EA5-FB8F-ACDCE4AA2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Photograph of a grass field marked with a grid of white chalk lines and black rectangular patches, resembling a testing or experimental layout. The grid includes alphanumeric labels and numerical values, possibly indicating different test conditions or measurements related to each patch.&#10;&#10;AI-generated content may be incorrect.">
                      <a:extLst>
                        <a:ext uri="{FF2B5EF4-FFF2-40B4-BE49-F238E27FC236}">
                          <a16:creationId xmlns:a16="http://schemas.microsoft.com/office/drawing/2014/main" id="{7E151D5B-B5E9-6EA5-FB8F-ACDCE4AA29E5}"/>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82605" cy="2836954"/>
                    </a:xfrm>
                    <a:prstGeom prst="rect">
                      <a:avLst/>
                    </a:prstGeom>
                  </pic:spPr>
                </pic:pic>
              </a:graphicData>
            </a:graphic>
          </wp:inline>
        </w:drawing>
      </w:r>
    </w:p>
    <w:p w14:paraId="2401AE4E" w14:textId="77777777" w:rsidR="0005039A" w:rsidRDefault="0005039A" w:rsidP="000B1F7C">
      <w:pPr>
        <w:jc w:val="both"/>
        <w:rPr>
          <w:bdr w:val="none" w:sz="0" w:space="0" w:color="auto" w:frame="1"/>
        </w:rPr>
      </w:pPr>
    </w:p>
    <w:sectPr w:rsidR="0005039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9523F97"/>
    <w:multiLevelType w:val="hybridMultilevel"/>
    <w:tmpl w:val="8C6EE654"/>
    <w:lvl w:ilvl="0" w:tplc="C74AED84">
      <w:numFmt w:val="bullet"/>
      <w:lvlText w:val=""/>
      <w:lvlJc w:val="left"/>
      <w:pPr>
        <w:tabs>
          <w:tab w:val="num" w:pos="2550"/>
        </w:tabs>
        <w:ind w:left="2550" w:hanging="360"/>
      </w:pPr>
      <w:rPr>
        <w:rFonts w:ascii="Wingdings" w:eastAsia="Times New Roman" w:hAnsi="Wingdings" w:cs="Calibri"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7C395D7D"/>
    <w:multiLevelType w:val="hybridMultilevel"/>
    <w:tmpl w:val="3298735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19029185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62154963">
    <w:abstractNumId w:val="0"/>
  </w:num>
  <w:num w:numId="3" w16cid:durableId="20501098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737D"/>
    <w:rsid w:val="00020EB7"/>
    <w:rsid w:val="0005039A"/>
    <w:rsid w:val="00063116"/>
    <w:rsid w:val="000915EF"/>
    <w:rsid w:val="00093FD2"/>
    <w:rsid w:val="000A15AB"/>
    <w:rsid w:val="000B1F7C"/>
    <w:rsid w:val="000C1225"/>
    <w:rsid w:val="000C13A3"/>
    <w:rsid w:val="000C1AA1"/>
    <w:rsid w:val="000C66A9"/>
    <w:rsid w:val="000E737D"/>
    <w:rsid w:val="00112BB9"/>
    <w:rsid w:val="00115D4F"/>
    <w:rsid w:val="00116080"/>
    <w:rsid w:val="00120CE6"/>
    <w:rsid w:val="00133423"/>
    <w:rsid w:val="00140534"/>
    <w:rsid w:val="00155DBB"/>
    <w:rsid w:val="00165C86"/>
    <w:rsid w:val="00183B4A"/>
    <w:rsid w:val="001B4C0F"/>
    <w:rsid w:val="001B5E88"/>
    <w:rsid w:val="001D08DE"/>
    <w:rsid w:val="00262D34"/>
    <w:rsid w:val="002648B9"/>
    <w:rsid w:val="002A22BB"/>
    <w:rsid w:val="002E642D"/>
    <w:rsid w:val="00301833"/>
    <w:rsid w:val="00303BCF"/>
    <w:rsid w:val="00314F27"/>
    <w:rsid w:val="0033598C"/>
    <w:rsid w:val="00346241"/>
    <w:rsid w:val="00355B19"/>
    <w:rsid w:val="00371416"/>
    <w:rsid w:val="00373CBC"/>
    <w:rsid w:val="00393182"/>
    <w:rsid w:val="00393F4B"/>
    <w:rsid w:val="003B7A94"/>
    <w:rsid w:val="003C1C33"/>
    <w:rsid w:val="003D713F"/>
    <w:rsid w:val="003E63B2"/>
    <w:rsid w:val="00402ED9"/>
    <w:rsid w:val="00430699"/>
    <w:rsid w:val="00443146"/>
    <w:rsid w:val="00454278"/>
    <w:rsid w:val="0046008B"/>
    <w:rsid w:val="00464DC0"/>
    <w:rsid w:val="004738E0"/>
    <w:rsid w:val="0047586F"/>
    <w:rsid w:val="004A5003"/>
    <w:rsid w:val="004C0D5E"/>
    <w:rsid w:val="004C286D"/>
    <w:rsid w:val="004E2CB2"/>
    <w:rsid w:val="0051155C"/>
    <w:rsid w:val="00530A38"/>
    <w:rsid w:val="005406BC"/>
    <w:rsid w:val="00545435"/>
    <w:rsid w:val="00550E2B"/>
    <w:rsid w:val="00584C4F"/>
    <w:rsid w:val="00590D12"/>
    <w:rsid w:val="005C4B4B"/>
    <w:rsid w:val="0061020A"/>
    <w:rsid w:val="00611A3B"/>
    <w:rsid w:val="0062087E"/>
    <w:rsid w:val="00652E07"/>
    <w:rsid w:val="0066683D"/>
    <w:rsid w:val="0069266A"/>
    <w:rsid w:val="006D6DB4"/>
    <w:rsid w:val="006E6BA8"/>
    <w:rsid w:val="006F3979"/>
    <w:rsid w:val="00706CCE"/>
    <w:rsid w:val="007253D3"/>
    <w:rsid w:val="007369AB"/>
    <w:rsid w:val="007614D7"/>
    <w:rsid w:val="00777B27"/>
    <w:rsid w:val="007B274A"/>
    <w:rsid w:val="007C26FB"/>
    <w:rsid w:val="007D4D90"/>
    <w:rsid w:val="00815ED2"/>
    <w:rsid w:val="0085317D"/>
    <w:rsid w:val="008961C9"/>
    <w:rsid w:val="008B1EFD"/>
    <w:rsid w:val="008C28FE"/>
    <w:rsid w:val="008D22E5"/>
    <w:rsid w:val="008F3268"/>
    <w:rsid w:val="009256DF"/>
    <w:rsid w:val="009268A2"/>
    <w:rsid w:val="00961120"/>
    <w:rsid w:val="00970C58"/>
    <w:rsid w:val="00982B5A"/>
    <w:rsid w:val="00982C95"/>
    <w:rsid w:val="00987094"/>
    <w:rsid w:val="00987DAB"/>
    <w:rsid w:val="009908FD"/>
    <w:rsid w:val="009947C6"/>
    <w:rsid w:val="009A210E"/>
    <w:rsid w:val="009A734A"/>
    <w:rsid w:val="009B52EF"/>
    <w:rsid w:val="00A07C88"/>
    <w:rsid w:val="00A153F3"/>
    <w:rsid w:val="00A21E3D"/>
    <w:rsid w:val="00A53938"/>
    <w:rsid w:val="00AA1A13"/>
    <w:rsid w:val="00AC0E3A"/>
    <w:rsid w:val="00AC270E"/>
    <w:rsid w:val="00AD719E"/>
    <w:rsid w:val="00AE7211"/>
    <w:rsid w:val="00AF34F4"/>
    <w:rsid w:val="00AF762D"/>
    <w:rsid w:val="00B00B52"/>
    <w:rsid w:val="00B5180B"/>
    <w:rsid w:val="00BB1733"/>
    <w:rsid w:val="00BB40C0"/>
    <w:rsid w:val="00BE3354"/>
    <w:rsid w:val="00C003C6"/>
    <w:rsid w:val="00C060AF"/>
    <w:rsid w:val="00C1295F"/>
    <w:rsid w:val="00C261D2"/>
    <w:rsid w:val="00C3418C"/>
    <w:rsid w:val="00C41B95"/>
    <w:rsid w:val="00C434E0"/>
    <w:rsid w:val="00C52EE4"/>
    <w:rsid w:val="00C77C04"/>
    <w:rsid w:val="00C87745"/>
    <w:rsid w:val="00C9183F"/>
    <w:rsid w:val="00CA4FEE"/>
    <w:rsid w:val="00CB2D22"/>
    <w:rsid w:val="00CB3E17"/>
    <w:rsid w:val="00CB5214"/>
    <w:rsid w:val="00CB6E3F"/>
    <w:rsid w:val="00CD4247"/>
    <w:rsid w:val="00CE0FFB"/>
    <w:rsid w:val="00CF61B8"/>
    <w:rsid w:val="00D40286"/>
    <w:rsid w:val="00D45F20"/>
    <w:rsid w:val="00D47C47"/>
    <w:rsid w:val="00D50488"/>
    <w:rsid w:val="00D54D6F"/>
    <w:rsid w:val="00DB1DF3"/>
    <w:rsid w:val="00DB505A"/>
    <w:rsid w:val="00E119B2"/>
    <w:rsid w:val="00E15801"/>
    <w:rsid w:val="00E3099D"/>
    <w:rsid w:val="00E30DE4"/>
    <w:rsid w:val="00E35454"/>
    <w:rsid w:val="00E62BB1"/>
    <w:rsid w:val="00E80BD1"/>
    <w:rsid w:val="00E85EA3"/>
    <w:rsid w:val="00E90448"/>
    <w:rsid w:val="00EA425A"/>
    <w:rsid w:val="00EA607E"/>
    <w:rsid w:val="00EA7891"/>
    <w:rsid w:val="00EB7995"/>
    <w:rsid w:val="00EC59C8"/>
    <w:rsid w:val="00EE18D4"/>
    <w:rsid w:val="00EF71DD"/>
    <w:rsid w:val="00F410E7"/>
    <w:rsid w:val="00F600A9"/>
    <w:rsid w:val="00F66774"/>
    <w:rsid w:val="00F67DDA"/>
    <w:rsid w:val="00F7002A"/>
    <w:rsid w:val="00F7168F"/>
    <w:rsid w:val="00F82100"/>
    <w:rsid w:val="00F835BE"/>
    <w:rsid w:val="00FA3C5C"/>
    <w:rsid w:val="00FA7AC3"/>
    <w:rsid w:val="00FC4DF3"/>
    <w:rsid w:val="00FD2029"/>
    <w:rsid w:val="00FD6DBF"/>
    <w:rsid w:val="00FF10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8100D8"/>
  <w15:chartTrackingRefBased/>
  <w15:docId w15:val="{9065895D-9A90-4542-85BB-EB73C147C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5801"/>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E15801"/>
    <w:pPr>
      <w:spacing w:before="100" w:beforeAutospacing="1" w:after="100" w:afterAutospacing="1"/>
    </w:pPr>
    <w:rPr>
      <w:rFonts w:ascii="Calibri" w:hAnsi="Calibri" w:cs="Calibri"/>
      <w:sz w:val="22"/>
      <w:szCs w:val="22"/>
    </w:rPr>
  </w:style>
  <w:style w:type="paragraph" w:customStyle="1" w:styleId="xmsonormal">
    <w:name w:val="xmsonormal"/>
    <w:basedOn w:val="Normal"/>
    <w:uiPriority w:val="99"/>
    <w:semiHidden/>
    <w:rsid w:val="00E15801"/>
    <w:pPr>
      <w:spacing w:before="100" w:beforeAutospacing="1" w:after="100" w:afterAutospacing="1"/>
    </w:pPr>
  </w:style>
  <w:style w:type="paragraph" w:styleId="ListParagraph">
    <w:name w:val="List Paragraph"/>
    <w:basedOn w:val="Normal"/>
    <w:uiPriority w:val="34"/>
    <w:qFormat/>
    <w:rsid w:val="00FF107E"/>
    <w:pPr>
      <w:spacing w:after="160" w:line="259" w:lineRule="auto"/>
      <w:ind w:left="720"/>
      <w:contextualSpacing/>
    </w:pPr>
    <w:rPr>
      <w:rFonts w:ascii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9161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22177130-642f-41d9-9211-74237ad5687d}" enabled="0" method="" siteId="{22177130-642f-41d9-9211-74237ad5687d}" removed="1"/>
</clbl:labelList>
</file>

<file path=docProps/app.xml><?xml version="1.0" encoding="utf-8"?>
<Properties xmlns="http://schemas.openxmlformats.org/officeDocument/2006/extended-properties" xmlns:vt="http://schemas.openxmlformats.org/officeDocument/2006/docPropsVTypes">
  <Template>Normal</Template>
  <TotalTime>3</TotalTime>
  <Pages>3</Pages>
  <Words>968</Words>
  <Characters>5518</Characters>
  <Application>Microsoft Office Word</Application>
  <DocSecurity>0</DocSecurity>
  <Lines>45</Lines>
  <Paragraphs>12</Paragraphs>
  <ScaleCrop>false</ScaleCrop>
  <Company/>
  <LinksUpToDate>false</LinksUpToDate>
  <CharactersWithSpaces>6474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Merewitz Holm, Emily</dc:creator>
  <cp:keywords/>
  <dc:description/>
  <cp:lastModifiedBy>Rabe, Mike</cp:lastModifiedBy>
  <cp:revision>6</cp:revision>
  <dcterms:created xsi:type="dcterms:W3CDTF">2026-06-18T11:54:00Z</dcterms:created>
  <dcterms:modified xsi:type="dcterms:W3CDTF">2026-06-18T11:57:00Z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d4030718e146e25a6596541e8e883feb1b8000ace592ea46f932b1dadcf6afa8</vt:lpwstr>
  </property>
</Properties>
</file>